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6C7A00"/>
          <w:sz w:val="18"/>
          <w:szCs w:val="18"/>
        </w:rPr>
        <w:t xml:space="preserve">SanctumShield · Agentic Governance for the Other 99%</w:t>
      </w:r>
    </w:p>
    <w:p>
      <w:pPr>
        <w:pStyle w:val="Heading1"/>
        <w:spacing w:after="120" w:before="60"/>
      </w:pPr>
      <w:r>
        <w:rPr>
          <w:b/>
          <w:bCs/>
        </w:rPr>
        <w:t xml:space="preserve">Quarterly Agent Governance Report — Board One-Pager</w:t>
      </w:r>
    </w:p>
    <w:p>
      <w:pPr>
        <w:spacing w:after="100"/>
      </w:pPr>
      <w:r>
        <w:rPr>
          <w:b/>
          <w:bCs/>
        </w:rPr>
        <w:t xml:space="preserve">Audience: </w:t>
      </w:r>
      <w:r>
        <w:t xml:space="preserve">the board / executive team of a mid-market organization (50–2,000 employees).</w:t>
      </w:r>
    </w:p>
    <w:p>
      <w:pPr>
        <w:spacing w:after="100"/>
      </w:pPr>
      <w:r>
        <w:rPr>
          <w:b/>
          <w:bCs/>
        </w:rPr>
        <w:t xml:space="preserve">Why this format wins. </w:t>
      </w:r>
      <w:r>
        <w:t xml:space="preserve">It converts “AI risk” from an abstract board anxiety into four numbers with names attached, on one page a board member reads in three minutes — and it maps to what auditors and cyber-insurance underwriters have begun to ask.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Fill-in rule: replace every shaded cell with your real numbers, pulled from your completed Agent AUP one-pagers. Do not ship example figures as if they were your data. Not a compliance certificate, not legal advice.</w:t>
      </w:r>
    </w:p>
    <w:p>
      <w:pPr>
        <w:pStyle w:val="Heading2"/>
        <w:spacing w:after="80" w:before="220"/>
      </w:pPr>
      <w:r>
        <w:rPr>
          <w:b/>
          <w:bCs/>
        </w:rPr>
        <w:t xml:space="preserve">Header</w:t>
      </w:r>
    </w:p>
    <w:tbl>
      <w:tblPr>
        <w:tblW w:type="pct" w:w="100%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2%"/>
          </w:tcPr>
          <w:p>
            <w:pPr>
              <w:spacing w:after="100"/>
            </w:pPr>
            <w:r>
              <w:rPr>
                <w:b/>
                <w:bCs/>
                <w:sz w:val="18"/>
                <w:szCs w:val="18"/>
              </w:rPr>
              <w:t xml:space="preserve">Organization</w:t>
            </w:r>
          </w:p>
        </w:tc>
        <w:tc>
          <w:tcPr>
            <w:tcW w:type="pct" w:w="28%"/>
            <w:shd w:fill="F4F6E8" w:val="clear"/>
          </w:tcPr>
          <w:p>
            <w:r>
              <w:t xml:space="preserve"/>
            </w:r>
          </w:p>
        </w:tc>
        <w:tc>
          <w:tcPr>
            <w:tcW w:type="pct" w:w="15%"/>
          </w:tcPr>
          <w:p>
            <w:pPr>
              <w:spacing w:after="100"/>
            </w:pPr>
            <w:r>
              <w:rPr>
                <w:b/>
                <w:bCs/>
                <w:sz w:val="18"/>
                <w:szCs w:val="18"/>
              </w:rPr>
              <w:t xml:space="preserve">Quarter</w:t>
            </w:r>
          </w:p>
        </w:tc>
        <w:tc>
          <w:tcPr>
            <w:tcW w:type="pct" w:w="35%"/>
            <w:shd w:fill="F4F6E8" w:val="clear"/>
          </w:tcPr>
          <w:p>
            <w:r>
              <w:t xml:space="preserve"/>
            </w:r>
          </w:p>
        </w:tc>
      </w:tr>
      <w:tr>
        <w:tc>
          <w:tcPr>
            <w:tcW w:type="pct" w:w="22%"/>
          </w:tcPr>
          <w:p>
            <w:pPr>
              <w:spacing w:after="100"/>
            </w:pPr>
            <w:r>
              <w:rPr>
                <w:b/>
                <w:bCs/>
                <w:sz w:val="18"/>
                <w:szCs w:val="18"/>
              </w:rPr>
              <w:t xml:space="preserve">Prepared by</w:t>
            </w:r>
          </w:p>
        </w:tc>
        <w:tc>
          <w:tcPr>
            <w:tcW w:type="pct" w:w="28%"/>
            <w:shd w:fill="F4F6E8" w:val="clear"/>
          </w:tcPr>
          <w:p>
            <w:r>
              <w:t xml:space="preserve"/>
            </w:r>
          </w:p>
        </w:tc>
        <w:tc>
          <w:tcPr>
            <w:tcW w:type="pct" w:w="15%"/>
          </w:tcPr>
          <w:p>
            <w:pPr>
              <w:spacing w:after="100"/>
            </w:pPr>
            <w:r>
              <w:rPr>
                <w:b/>
                <w:bCs/>
                <w:sz w:val="18"/>
                <w:szCs w:val="18"/>
              </w:rPr>
              <w:t xml:space="preserve">Date</w:t>
            </w:r>
          </w:p>
        </w:tc>
        <w:tc>
          <w:tcPr>
            <w:tcW w:type="pct" w:w="35%"/>
            <w:shd w:fill="F4F6E8" w:val="clear"/>
          </w:tcPr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1 · Agent inventory</w:t>
      </w:r>
    </w:p>
    <w:tbl>
      <w:tblPr>
        <w:tblW w:type="pct" w:w="100%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6%"/>
            <w:shd w:fill="12141B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pct" w:w="18%"/>
            <w:shd w:fill="12141B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This quarter</w:t>
            </w:r>
          </w:p>
        </w:tc>
        <w:tc>
          <w:tcPr>
            <w:tcW w:type="pct" w:w="18%"/>
            <w:shd w:fill="12141B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Last quarter</w:t>
            </w:r>
          </w:p>
        </w:tc>
        <w:tc>
          <w:tcPr>
            <w:tcW w:type="pct" w:w="18%"/>
            <w:shd w:fill="12141B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Change</w:t>
            </w:r>
          </w:p>
        </w:tc>
      </w:tr>
      <w:tr>
        <w:tc>
          <w:tcPr>
            <w:tcW w:type="pct" w:w="46%"/>
          </w:tcPr>
          <w:p>
            <w:pPr>
              <w:spacing w:after="100"/>
            </w:pPr>
            <w:r>
              <w:rPr>
                <w:b/>
                <w:bCs/>
                <w:sz w:val="18"/>
                <w:szCs w:val="18"/>
              </w:rPr>
              <w:t xml:space="preserve">Sanctioned agents (in registry)</w:t>
            </w:r>
          </w:p>
        </w:tc>
        <w:tc>
          <w:tcPr>
            <w:tcW w:type="pct" w:w="18%"/>
            <w:shd w:fill="F4F6E8" w:val="clear"/>
          </w:tcPr>
          <w:p>
            <w:r>
              <w:t xml:space="preserve"/>
            </w:r>
          </w:p>
        </w:tc>
        <w:tc>
          <w:tcPr>
            <w:tcW w:type="pct" w:w="18%"/>
            <w:shd w:fill="F4F6E8" w:val="clear"/>
          </w:tcPr>
          <w:p>
            <w:r>
              <w:t xml:space="preserve"/>
            </w:r>
          </w:p>
        </w:tc>
        <w:tc>
          <w:tcPr>
            <w:tcW w:type="pct" w:w="18%"/>
            <w:shd w:fill="F4F6E8" w:val="clear"/>
          </w:tcPr>
          <w:p>
            <w:r>
              <w:t xml:space="preserve"/>
            </w:r>
          </w:p>
        </w:tc>
      </w:tr>
      <w:tr>
        <w:tc>
          <w:tcPr>
            <w:tcW w:type="pct" w:w="46%"/>
          </w:tcPr>
          <w:p>
            <w:pPr>
              <w:spacing w:after="100"/>
            </w:pPr>
            <w:r>
              <w:rPr>
                <w:b/>
                <w:bCs/>
                <w:sz w:val="18"/>
                <w:szCs w:val="18"/>
              </w:rPr>
              <w:t xml:space="preserve">Shadow AI discovered this quarter</w:t>
            </w:r>
          </w:p>
        </w:tc>
        <w:tc>
          <w:tcPr>
            <w:tcW w:type="pct" w:w="18%"/>
            <w:shd w:fill="F4F6E8" w:val="clear"/>
          </w:tcPr>
          <w:p>
            <w:r>
              <w:t xml:space="preserve"/>
            </w:r>
          </w:p>
        </w:tc>
        <w:tc>
          <w:tcPr>
            <w:tcW w:type="pct" w:w="18%"/>
            <w:shd w:fill="F4F6E8" w:val="clear"/>
          </w:tcPr>
          <w:p>
            <w:r>
              <w:t xml:space="preserve"/>
            </w:r>
          </w:p>
        </w:tc>
        <w:tc>
          <w:tcPr>
            <w:tcW w:type="pct" w:w="18%"/>
            <w:shd w:fill="F4F6E8" w:val="clear"/>
          </w:tcPr>
          <w:p>
            <w:r>
              <w:t xml:space="preserve"/>
            </w:r>
          </w:p>
        </w:tc>
      </w:tr>
      <w:tr>
        <w:tc>
          <w:tcPr>
            <w:tcW w:type="pct" w:w="46%"/>
          </w:tcPr>
          <w:p>
            <w:pPr>
              <w:spacing w:after="100"/>
            </w:pPr>
            <w:r>
              <w:rPr>
                <w:b/>
                <w:bCs/>
                <w:sz w:val="18"/>
                <w:szCs w:val="18"/>
              </w:rPr>
              <w:t xml:space="preserve">→ of those, now sanctioned or retired</w:t>
            </w:r>
          </w:p>
        </w:tc>
        <w:tc>
          <w:tcPr>
            <w:tcW w:type="pct" w:w="18%"/>
            <w:shd w:fill="F4F6E8" w:val="clear"/>
          </w:tcPr>
          <w:p>
            <w:r>
              <w:t xml:space="preserve"/>
            </w:r>
          </w:p>
        </w:tc>
        <w:tc>
          <w:tcPr>
            <w:tcW w:type="pct" w:w="18%"/>
            <w:shd w:fill="F4F6E8" w:val="clear"/>
          </w:tcPr>
          <w:p>
            <w:r>
              <w:t xml:space="preserve"/>
            </w:r>
          </w:p>
        </w:tc>
        <w:tc>
          <w:tcPr>
            <w:tcW w:type="pct" w:w="18%"/>
            <w:shd w:fill="F4F6E8" w:val="clear"/>
          </w:tcPr>
          <w:p>
            <w:r>
              <w:t xml:space="preserve"/>
            </w:r>
          </w:p>
        </w:tc>
      </w:tr>
    </w:tbl>
    <w:p>
      <w:pPr>
        <w:spacing w:after="100"/>
      </w:pPr>
      <w:r>
        <w:rPr>
          <w:i/>
          <w:iCs/>
        </w:rPr>
        <w:t xml:space="preserve">One-line story: 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2 · Autonomy distribution</w:t>
      </w:r>
    </w:p>
    <w:tbl>
      <w:tblPr>
        <w:tblW w:type="pct" w:w="100%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shd w:fill="12141B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Level</w:t>
            </w:r>
          </w:p>
        </w:tc>
        <w:tc>
          <w:tcPr>
            <w:tcW w:type="pct" w:w="30%"/>
            <w:shd w:fill="12141B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Count</w:t>
            </w:r>
          </w:p>
        </w:tc>
        <w:tc>
          <w:tcPr>
            <w:tcW w:type="pct" w:w="30%"/>
            <w:shd w:fill="12141B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40%"/>
          </w:tcPr>
          <w:p>
            <w:pPr>
              <w:spacing w:after="100"/>
            </w:pPr>
            <w:r>
              <w:rPr>
                <w:b/>
                <w:bCs/>
                <w:sz w:val="18"/>
                <w:szCs w:val="18"/>
              </w:rPr>
              <w:t xml:space="preserve">Intern (read-only)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</w:tc>
      </w:tr>
      <w:tr>
        <w:tc>
          <w:tcPr>
            <w:tcW w:type="pct" w:w="40%"/>
          </w:tcPr>
          <w:p>
            <w:pPr>
              <w:spacing w:after="100"/>
            </w:pPr>
            <w:r>
              <w:rPr>
                <w:b/>
                <w:bCs/>
                <w:sz w:val="18"/>
                <w:szCs w:val="18"/>
              </w:rPr>
              <w:t xml:space="preserve">Junior (recommend, human approves)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</w:tc>
      </w:tr>
      <w:tr>
        <w:tc>
          <w:tcPr>
            <w:tcW w:type="pct" w:w="40%"/>
          </w:tcPr>
          <w:p>
            <w:pPr>
              <w:spacing w:after="100"/>
            </w:pPr>
            <w:r>
              <w:rPr>
                <w:b/>
                <w:bCs/>
                <w:sz w:val="18"/>
                <w:szCs w:val="18"/>
              </w:rPr>
              <w:t xml:space="preserve">Senior (execute + notify)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</w:tc>
      </w:tr>
      <w:tr>
        <w:tc>
          <w:tcPr>
            <w:tcW w:type="pct" w:w="40%"/>
          </w:tcPr>
          <w:p>
            <w:pPr>
              <w:spacing w:after="100"/>
            </w:pPr>
            <w:r>
              <w:rPr>
                <w:b/>
                <w:bCs/>
                <w:sz w:val="18"/>
                <w:szCs w:val="18"/>
              </w:rPr>
              <w:t xml:space="preserve">Principal (broad autonomy)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</w:tc>
      </w:tr>
    </w:tbl>
    <w:p>
      <w:pPr>
        <w:spacing w:after="100"/>
      </w:pPr>
      <w:r>
        <w:rPr>
          <w:i/>
          <w:iCs/>
        </w:rPr>
        <w:t xml:space="preserve">One-line story: 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3 · Off-spec events (agents acting outside their job description)</w:t>
      </w:r>
    </w:p>
    <w:tbl>
      <w:tblPr>
        <w:tblW w:type="pct" w:w="100%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70%"/>
            <w:shd w:fill="12141B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/>
            </w:r>
          </w:p>
        </w:tc>
        <w:tc>
          <w:tcPr>
            <w:tcW w:type="pct" w:w="30%"/>
            <w:shd w:fill="12141B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Count</w:t>
            </w:r>
          </w:p>
        </w:tc>
      </w:tr>
      <w:tr>
        <w:tc>
          <w:tcPr>
            <w:tcW w:type="pct" w:w="70%"/>
          </w:tcPr>
          <w:p>
            <w:pPr>
              <w:spacing w:after="100"/>
            </w:pPr>
            <w:r>
              <w:rPr>
                <w:b/>
                <w:bCs/>
                <w:sz w:val="18"/>
                <w:szCs w:val="18"/>
              </w:rPr>
              <w:t xml:space="preserve">Total off-spec events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</w:tc>
      </w:tr>
      <w:tr>
        <w:tc>
          <w:tcPr>
            <w:tcW w:type="pct" w:w="70%"/>
          </w:tcPr>
          <w:p>
            <w:pPr>
              <w:spacing w:after="100"/>
            </w:pPr>
            <w:r>
              <w:rPr>
                <w:b/>
                <w:bCs/>
                <w:sz w:val="18"/>
                <w:szCs w:val="18"/>
              </w:rPr>
              <w:t xml:space="preserve">→ High severity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</w:tc>
      </w:tr>
      <w:tr>
        <w:tc>
          <w:tcPr>
            <w:tcW w:type="pct" w:w="70%"/>
          </w:tcPr>
          <w:p>
            <w:pPr>
              <w:spacing w:after="100"/>
            </w:pPr>
            <w:r>
              <w:rPr>
                <w:b/>
                <w:bCs/>
                <w:sz w:val="18"/>
                <w:szCs w:val="18"/>
              </w:rPr>
              <w:t xml:space="preserve">→ Medium / Low</w:t>
            </w:r>
          </w:p>
        </w:tc>
        <w:tc>
          <w:tcPr>
            <w:tcW w:type="pct" w:w="30%"/>
            <w:shd w:fill="F4F6E8" w:val="clear"/>
          </w:tcPr>
          <w:p>
            <w:r>
              <w:t xml:space="preserve"/>
            </w:r>
          </w:p>
        </w:tc>
      </w:tr>
    </w:tbl>
    <w:p>
      <w:pPr>
        <w:spacing w:after="100"/>
      </w:pPr>
      <w:r>
        <w:rPr>
          <w:i/>
          <w:iCs/>
        </w:rPr>
        <w:t xml:space="preserve">The worst one, in one sentence: 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4 · Promotion / demotion decisions</w:t>
      </w:r>
    </w:p>
    <w:tbl>
      <w:tblPr>
        <w:tblW w:type="pct" w:w="100%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0%"/>
            <w:shd w:fill="12141B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Agent</w:t>
            </w:r>
          </w:p>
        </w:tc>
        <w:tc>
          <w:tcPr>
            <w:tcW w:type="pct" w:w="20%"/>
            <w:shd w:fill="12141B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Change</w:t>
            </w:r>
          </w:p>
        </w:tc>
        <w:tc>
          <w:tcPr>
            <w:tcW w:type="pct" w:w="25%"/>
            <w:shd w:fill="12141B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From → To</w:t>
            </w:r>
          </w:p>
        </w:tc>
        <w:tc>
          <w:tcPr>
            <w:tcW w:type="pct" w:w="25%"/>
            <w:shd w:fill="12141B" w:val="clea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Signed off by</w:t>
            </w:r>
          </w:p>
        </w:tc>
      </w:tr>
      <w:tr>
        <w:tc>
          <w:tcPr>
            <w:tcW w:type="pct" w:w="30%"/>
            <w:shd w:fill="F4F6E8" w:val="clear"/>
          </w:tcPr>
          <w:p>
            <w:r>
              <w:t xml:space="preserve"/>
            </w:r>
          </w:p>
        </w:tc>
        <w:tc>
          <w:tcPr>
            <w:tcW w:type="pct" w:w="20%"/>
            <w:shd w:fill="F4F6E8" w:val="clear"/>
          </w:tcPr>
          <w:p>
            <w:r>
              <w:t xml:space="preserve"/>
            </w:r>
          </w:p>
        </w:tc>
        <w:tc>
          <w:tcPr>
            <w:tcW w:type="pct" w:w="25%"/>
            <w:shd w:fill="F4F6E8" w:val="clear"/>
          </w:tcPr>
          <w:p>
            <w:r>
              <w:t xml:space="preserve"/>
            </w:r>
          </w:p>
        </w:tc>
        <w:tc>
          <w:tcPr>
            <w:tcW w:type="pct" w:w="25%"/>
            <w:shd w:fill="F4F6E8" w:val="clear"/>
          </w:tcPr>
          <w:p>
            <w:r>
              <w:t xml:space="preserve"/>
            </w:r>
          </w:p>
        </w:tc>
      </w:tr>
      <w:tr>
        <w:tc>
          <w:tcPr>
            <w:tcW w:type="pct" w:w="30%"/>
            <w:shd w:fill="F4F6E8" w:val="clear"/>
          </w:tcPr>
          <w:p>
            <w:r>
              <w:t xml:space="preserve"/>
            </w:r>
          </w:p>
        </w:tc>
        <w:tc>
          <w:tcPr>
            <w:tcW w:type="pct" w:w="20%"/>
            <w:shd w:fill="F4F6E8" w:val="clear"/>
          </w:tcPr>
          <w:p>
            <w:r>
              <w:t xml:space="preserve"/>
            </w:r>
          </w:p>
        </w:tc>
        <w:tc>
          <w:tcPr>
            <w:tcW w:type="pct" w:w="25%"/>
            <w:shd w:fill="F4F6E8" w:val="clear"/>
          </w:tcPr>
          <w:p>
            <w:r>
              <w:t xml:space="preserve"/>
            </w:r>
          </w:p>
        </w:tc>
        <w:tc>
          <w:tcPr>
            <w:tcW w:type="pct" w:w="25%"/>
            <w:shd w:fill="F4F6E8" w:val="clear"/>
          </w:tcPr>
          <w:p>
            <w:r>
              <w:t xml:space="preserve"/>
            </w:r>
          </w:p>
        </w:tc>
      </w:tr>
      <w:tr>
        <w:tc>
          <w:tcPr>
            <w:tcW w:type="pct" w:w="30%"/>
            <w:shd w:fill="F4F6E8" w:val="clear"/>
          </w:tcPr>
          <w:p>
            <w:r>
              <w:t xml:space="preserve"/>
            </w:r>
          </w:p>
        </w:tc>
        <w:tc>
          <w:tcPr>
            <w:tcW w:type="pct" w:w="20%"/>
            <w:shd w:fill="F4F6E8" w:val="clear"/>
          </w:tcPr>
          <w:p>
            <w:r>
              <w:t xml:space="preserve"/>
            </w:r>
          </w:p>
        </w:tc>
        <w:tc>
          <w:tcPr>
            <w:tcW w:type="pct" w:w="25%"/>
            <w:shd w:fill="F4F6E8" w:val="clear"/>
          </w:tcPr>
          <w:p>
            <w:r>
              <w:t xml:space="preserve"/>
            </w:r>
          </w:p>
        </w:tc>
        <w:tc>
          <w:tcPr>
            <w:tcW w:type="pct" w:w="25%"/>
            <w:shd w:fill="F4F6E8" w:val="clear"/>
          </w:tcPr>
          <w:p>
            <w:r>
              <w:t xml:space="preserve"/>
            </w:r>
          </w:p>
        </w:tc>
      </w:tr>
    </w:tbl>
    <w:p>
      <w:pPr>
        <w:spacing w:after="100"/>
      </w:pPr>
      <w:r>
        <w:rPr>
          <w:b/>
          <w:bCs/>
        </w:rPr>
        <w:t xml:space="preserve">The one question this page should provoke — put it in front of the board:</w:t>
      </w:r>
    </w:p>
    <w:p>
      <w:pPr>
        <w:spacing w:after="120"/>
      </w:pPr>
      <w:r>
        <w:rPr>
          <w:i/>
          <w:iCs/>
        </w:rPr>
        <w:t xml:space="preserve">“Are we comfortable with the ____ agents operating at Senior/Principal autonomy — and do we know who's accountable for each?”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An illustrative (clearly fake) worked example is in the web version — use it for layout only, never ship its numbers: https://sanctumshield.com/resources/agentic-governance/quarterly-agent-governance-report.html</w:t>
      </w:r>
    </w:p>
    <w:p>
      <w:pPr>
        <w:pStyle w:val="Heading2"/>
        <w:spacing w:after="80" w:before="220"/>
      </w:pPr>
      <w:r>
        <w:rPr>
          <w:b/>
          <w:bCs/>
        </w:rPr>
        <w:t xml:space="preserve">Guardrails honored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Not a compliance attestation or certification; an internal board-reporting template.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No fabricated statistics — all figures are yours to fill in; replace every value.</w:t>
      </w:r>
    </w:p>
    <w:p>
      <w:pPr>
        <w:pStyle w:val="Heading2"/>
        <w:spacing w:after="80" w:before="220"/>
      </w:pPr>
      <w:r>
        <w:rPr>
          <w:b/>
          <w:bCs/>
        </w:rPr>
        <w:t xml:space="preserve">Sources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OWASP GenAI Security Project, </w:t>
      </w:r>
      <w:r>
        <w:rPr>
          <w:i/>
          <w:iCs/>
        </w:rPr>
        <w:t xml:space="preserve">OWASP Top 10 for Agentic Applications (2026)</w:t>
      </w:r>
      <w:r>
        <w:t xml:space="preserve"> (ASI01–ASI10) — </w:t>
      </w:r>
      <w:hyperlink w:history="1" r:id="rId1ds0nkxjznhh267x7wgjp">
        <w:r>
          <w:rPr>
            <w:rStyle w:val="Hyperlink"/>
          </w:rPr>
          <w:t xml:space="preserve">genai.owasp.org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Cloud Security Alliance, </w:t>
      </w:r>
      <w:r>
        <w:rPr>
          <w:i/>
          <w:iCs/>
        </w:rPr>
        <w:t xml:space="preserve">The Agentic Trust Framework</w:t>
      </w:r>
      <w:r>
        <w:t xml:space="preserve"> (Feb 2, 2026) — </w:t>
      </w:r>
      <w:hyperlink w:history="1" r:id="rIde0oms-nvq27v5qxkiaytw">
        <w:r>
          <w:rPr>
            <w:rStyle w:val="Hyperlink"/>
          </w:rPr>
          <w:t xml:space="preserve">cloudsecurityalliance.org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Cunningham, C. </w:t>
      </w:r>
      <w:r>
        <w:rPr>
          <w:i/>
          <w:iCs/>
        </w:rPr>
        <w:t xml:space="preserve">Agentic Zero Trust</w:t>
      </w:r>
      <w:r>
        <w:t xml:space="preserve"> v3.0 (May 2026), Cequence — </w:t>
      </w:r>
      <w:hyperlink w:history="1" r:id="rId_kaddhblpmkdk4dmdyvpr">
        <w:r>
          <w:rPr>
            <w:rStyle w:val="Hyperlink"/>
          </w:rPr>
          <w:t xml:space="preserve">cequence.ai/agentic-zero-trust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NIST, </w:t>
      </w:r>
      <w:r>
        <w:rPr>
          <w:i/>
          <w:iCs/>
        </w:rPr>
        <w:t xml:space="preserve">AI Risk Management Framework (AI RMF 1.0)</w:t>
      </w:r>
      <w:r>
        <w:t xml:space="preserve"> — </w:t>
      </w:r>
      <w:hyperlink w:history="1" r:id="rId5bblko9ry-mjt8lq7lnso">
        <w:r>
          <w:rPr>
            <w:rStyle w:val="Hyperlink"/>
          </w:rPr>
          <w:t xml:space="preserve">nist.gov</w:t>
        </w:r>
      </w:hyperlink>
    </w:p>
    <w:p>
      <w:pPr>
        <w:spacing w:before="240"/>
      </w:pPr>
      <w:r>
        <w:rPr>
          <w:color w:val="888888"/>
          <w:sz w:val="16"/>
          <w:szCs w:val="16"/>
        </w:rPr>
        <w:t xml:space="preserve">© PIGENAI LLC · SanctumShield · sanctumshield.com · This is an educational template, not legal advice or a compliance certification.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ds0nkxjznhh267x7wgjp" Type="http://schemas.openxmlformats.org/officeDocument/2006/relationships/hyperlink" Target="https://genai.owasp.org/resource/owasp-top-10-for-agentic-applications-for-2026/" TargetMode="External"/><Relationship Id="rIde0oms-nvq27v5qxkiaytw" Type="http://schemas.openxmlformats.org/officeDocument/2006/relationships/hyperlink" Target="https://cloudsecurityalliance.org/blog/2026/02/02/the-agentic-trust-framework-zero-trust-governance-for-ai-agents" TargetMode="External"/><Relationship Id="rId_kaddhblpmkdk4dmdyvpr" Type="http://schemas.openxmlformats.org/officeDocument/2006/relationships/hyperlink" Target="https://www.cequence.ai/agentic-zero-trust/" TargetMode="External"/><Relationship Id="rId5bblko9ry-mjt8lq7lnso" Type="http://schemas.openxmlformats.org/officeDocument/2006/relationships/hyperlink" Target="https://www.nist.gov/itl/ai-risk-management-framework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2026-08-12T06:26:35.063Z</dcterms:created>
  <dcterms:modified xsi:type="dcterms:W3CDTF">2026-08-12T06:26:35.063Z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