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6C7A00"/>
          <w:sz w:val="18"/>
          <w:szCs w:val="18"/>
        </w:rPr>
        <w:t xml:space="preserve">SanctumShield · Agentic Governance for the Other 99%</w:t>
      </w:r>
    </w:p>
    <w:p>
      <w:pPr>
        <w:pStyle w:val="Heading1"/>
        <w:spacing w:after="120" w:before="60"/>
      </w:pPr>
      <w:r>
        <w:rPr>
          <w:b/>
          <w:bCs/>
        </w:rPr>
        <w:t xml:space="preserve">MSP AI Trust Questionnaire — 10 Questions for Your Managed Provider</w:t>
      </w:r>
    </w:p>
    <w:p>
      <w:pPr>
        <w:spacing w:after="100"/>
      </w:pPr>
      <w:r>
        <w:rPr>
          <w:b/>
          <w:bCs/>
        </w:rPr>
        <w:t xml:space="preserve">Audience: </w:t>
      </w:r>
      <w:r>
        <w:t xml:space="preserve">mid-market organizations whose IT is run by a managed provider (MSP / MSSP).</w:t>
      </w:r>
    </w:p>
    <w:p>
      <w:pPr>
        <w:spacing w:after="100"/>
      </w:pPr>
      <w:r>
        <w:rPr>
          <w:b/>
          <w:bCs/>
        </w:rPr>
        <w:t xml:space="preserve">How to use this copy. </w:t>
      </w:r>
      <w:r>
        <w:t xml:space="preserve">Send the questions, then type each answer into the box beneath it. A straight, specific answer is a good sign; evasion is data. Pay special attention to the non-negotiables (questions 2, 7, and 8). If you accept a weak answer, note who accepted it — that is your record.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Not a certification and not legal advice — a decision aid that informs your own procurement and legal review.</w:t>
      </w:r>
    </w:p>
    <w:p>
      <w:r>
        <w:t xml:space="preserve"/>
      </w:r>
    </w:p>
    <w:p>
      <w:pPr>
        <w:spacing w:after="40" w:before="180"/>
      </w:pPr>
      <w:r>
        <w:rPr>
          <w:b/>
          <w:bCs/>
          <w:sz w:val="24"/>
          <w:szCs w:val="24"/>
        </w:rPr>
        <w:t xml:space="preserve">1. What AI-driven features are currently active in our environment — and how do you learn when your platform vendor adds one?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specific list + how they learn of new vendor AI. Watch for: can't separate AI from ordinary automation.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2. When your platform vendor ships a new AI feature, how much notice do you get — and what happens between that notice and it running on our endpoints?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change-control policy + real notice. Watch for: “it just updates automatically,” no policy.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3. Before an AI feature that can execute scripts reaches our systems, what is your approval process — and where do we enter it?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documented approval step you enter. Watch for: “we'll mention it in the newsletter.”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4. Can AI-driven actions be scoped or disabled for our organization specifically — or is it one setting across your whole client base?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per-org / per-endpoint scoping with admin docs. Watch for: one global setting.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5. Can you produce a record of AI-initiated actions in our environment — what acted, on which asset, when, and under whose authority?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monthly record + an example artifact now. Watch for: partial logs, “we'd have to check.”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6. Is a technician reviewing AI-generated scripts before they execute in our environment — or does generated code run unreviewed?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written pre-execution review + a 30-day record. Watch for: unreviewed code, “the AI is accurate.”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7. If the AI misfires, can you disable it for our organization or a single endpoint — without degrading the rest of the service?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per-org/endpoint disable + time-to-effect, owner, last-tested. Watch for: “open a ticket,” platform-wide only.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8. When an AI feature processes our data, where does it go — recipients, terms, retention, and is any used for training?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clear answer + a subprocessor list. Watch for: no list, no answer on training.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9. If your platform vendor or its AI subprocessor is breached, how many hours until we hear from you?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number in hours + the clause. Watch for: “promptly,” no subprocessor visibility.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10. Who at your company is the named owner accountable for AI behavior in client environments?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specific named person. Watch for: “the team,” “our vendor handles that.”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pStyle w:val="Heading2"/>
        <w:spacing w:after="80" w:before="220"/>
      </w:pPr>
      <w:r>
        <w:rPr>
          <w:b/>
          <w:bCs/>
        </w:rPr>
        <w:t xml:space="preserve">Guardrails honored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Not a certification — no score here attests compliance or safety; it informs your risk decision.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 guarantee of outcome. Framework references describe what to look for, not a warranty.</w:t>
      </w:r>
    </w:p>
    <w:p>
      <w:pPr>
        <w:pStyle w:val="Heading2"/>
        <w:spacing w:after="80" w:before="220"/>
      </w:pPr>
      <w:r>
        <w:rPr>
          <w:b/>
          <w:bCs/>
        </w:rPr>
        <w:t xml:space="preserve">Sources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OWASP GenAI Security Project, </w:t>
      </w:r>
      <w:r>
        <w:rPr>
          <w:i/>
          <w:iCs/>
        </w:rPr>
        <w:t xml:space="preserve">OWASP Top 10 for Agentic Applications (2026)</w:t>
      </w:r>
      <w:r>
        <w:t xml:space="preserve"> (ASI01–ASI10) — </w:t>
      </w:r>
      <w:hyperlink w:history="1" r:id="rIdycpn_1rjjvci57n_ohwli">
        <w:r>
          <w:rPr>
            <w:rStyle w:val="Hyperlink"/>
          </w:rPr>
          <w:t xml:space="preserve">genai.owasp.org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Cloud Security Alliance, </w:t>
      </w:r>
      <w:r>
        <w:rPr>
          <w:i/>
          <w:iCs/>
        </w:rPr>
        <w:t xml:space="preserve">The Agentic Trust Framework</w:t>
      </w:r>
      <w:r>
        <w:t xml:space="preserve"> (Feb 2, 2026) — </w:t>
      </w:r>
      <w:hyperlink w:history="1" r:id="rId5asu0rrvcpjjrhqcbgagv">
        <w:r>
          <w:rPr>
            <w:rStyle w:val="Hyperlink"/>
          </w:rPr>
          <w:t xml:space="preserve">cloudsecurityalliance.org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Cunningham, C. </w:t>
      </w:r>
      <w:r>
        <w:rPr>
          <w:i/>
          <w:iCs/>
        </w:rPr>
        <w:t xml:space="preserve">Agentic Zero Trust</w:t>
      </w:r>
      <w:r>
        <w:t xml:space="preserve"> v3.0 (May 2026), Cequence — </w:t>
      </w:r>
      <w:hyperlink w:history="1" r:id="rIdns1a-epw39wpkpv2tu5j1">
        <w:r>
          <w:rPr>
            <w:rStyle w:val="Hyperlink"/>
          </w:rPr>
          <w:t xml:space="preserve">cequence.ai/agentic-zero-trust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NIST, </w:t>
      </w:r>
      <w:r>
        <w:rPr>
          <w:i/>
          <w:iCs/>
        </w:rPr>
        <w:t xml:space="preserve">AI Risk Management Framework (AI RMF 1.0)</w:t>
      </w:r>
      <w:r>
        <w:t xml:space="preserve"> — </w:t>
      </w:r>
      <w:hyperlink w:history="1" r:id="rIdqz06gffasfynpbpiipohc">
        <w:r>
          <w:rPr>
            <w:rStyle w:val="Hyperlink"/>
          </w:rPr>
          <w:t xml:space="preserve">nist.gov</w:t>
        </w:r>
      </w:hyperlink>
    </w:p>
    <w:p>
      <w:pPr>
        <w:spacing w:before="220"/>
      </w:pPr>
      <w:r>
        <w:rPr>
          <w:b/>
          <w:bCs/>
          <w:color w:val="6C7A00"/>
          <w:sz w:val="15"/>
          <w:szCs w:val="15"/>
        </w:rPr>
        <w:t xml:space="preserve">Acknowledgment  </w:t>
      </w:r>
      <w:r>
        <w:rPr>
          <w:color w:val="888888"/>
          <w:sz w:val="18"/>
          <w:szCs w:val="18"/>
        </w:rPr>
        <w:t xml:space="preserve">Practitioner red-team review by Nate Moore, CISSP (</w:t>
      </w:r>
      <w:hyperlink w:history="1" r:id="rIdavba8zhiifpjqtextsyeq">
        <w:r>
          <w:rPr>
            <w:rStyle w:val="Hyperlink"/>
          </w:rPr>
          <w:t xml:space="preserve">linkedin.com/in/natemoore</w:t>
        </w:r>
      </w:hyperlink>
      <w:r>
        <w:rPr>
          <w:color w:val="888888"/>
          <w:sz w:val="18"/>
          <w:szCs w:val="18"/>
        </w:rPr>
        <w:t xml:space="preserve">).</w:t>
      </w:r>
    </w:p>
    <w:p>
      <w:pPr>
        <w:spacing w:before="240"/>
      </w:pPr>
      <w:r>
        <w:rPr>
          <w:color w:val="888888"/>
          <w:sz w:val="16"/>
          <w:szCs w:val="16"/>
        </w:rPr>
        <w:t xml:space="preserve">© PIGENAI LLC · SanctumShield · sanctumshield.com · This is an educational template, not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cpn_1rjjvci57n_ohwli" Type="http://schemas.openxmlformats.org/officeDocument/2006/relationships/hyperlink" Target="https://genai.owasp.org/resource/owasp-top-10-for-agentic-applications-for-2026/" TargetMode="External"/><Relationship Id="rId5asu0rrvcpjjrhqcbgagv" Type="http://schemas.openxmlformats.org/officeDocument/2006/relationships/hyperlink" Target="https://cloudsecurityalliance.org/blog/2026/02/02/the-agentic-trust-framework-zero-trust-governance-for-ai-agents" TargetMode="External"/><Relationship Id="rIdns1a-epw39wpkpv2tu5j1" Type="http://schemas.openxmlformats.org/officeDocument/2006/relationships/hyperlink" Target="https://www.cequence.ai/agentic-zero-trust/" TargetMode="External"/><Relationship Id="rIdqz06gffasfynpbpiipohc" Type="http://schemas.openxmlformats.org/officeDocument/2006/relationships/hyperlink" Target="https://www.nist.gov/itl/ai-risk-management-framework" TargetMode="External"/><Relationship Id="rIdavba8zhiifpjqtextsyeq" Type="http://schemas.openxmlformats.org/officeDocument/2006/relationships/hyperlink" Target="https://www.linkedin.com/in/natemoore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2026-08-12T19:45:37.706Z</dcterms:created>
  <dcterms:modified xsi:type="dcterms:W3CDTF">2026-08-12T19:45:37.706Z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