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6C7A00"/>
          <w:sz w:val="18"/>
          <w:szCs w:val="18"/>
        </w:rPr>
        <w:t xml:space="preserve">SanctumShield · Agentic Governance for the Other 99%</w:t>
      </w:r>
    </w:p>
    <w:p>
      <w:pPr>
        <w:pStyle w:val="Heading1"/>
        <w:spacing w:after="120" w:before="60"/>
      </w:pPr>
      <w:r>
        <w:rPr>
          <w:b/>
          <w:bCs/>
        </w:rPr>
        <w:t xml:space="preserve">AI Vendor Trust Questionnaire — 10 Questions</w:t>
      </w:r>
    </w:p>
    <w:p>
      <w:pPr>
        <w:spacing w:after="100"/>
      </w:pPr>
      <w:r>
        <w:rPr>
          <w:b/>
          <w:bCs/>
        </w:rPr>
        <w:t xml:space="preserve">Audience: </w:t>
      </w:r>
      <w:r>
        <w:t xml:space="preserve">mid-market buyers (50–2,000 employees) evaluating any product that ships an AI agent.</w:t>
      </w:r>
    </w:p>
    <w:p>
      <w:pPr>
        <w:spacing w:after="100"/>
      </w:pPr>
      <w:r>
        <w:rPr>
          <w:b/>
          <w:bCs/>
        </w:rPr>
        <w:t xml:space="preserve">How to use this copy. </w:t>
      </w:r>
      <w:r>
        <w:t xml:space="preserve">Send the questions, then type each answer into the box beneath it. A straight, specific answer is a good sign; evasion is data. Pay special attention to the non-negotiables (questions 2, 4, and 6). If you accept a weak answer, note who accepted it — that is your record.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Not a certification and not legal advice — a decision aid that informs your own procurement and legal review.</w:t>
      </w:r>
    </w:p>
    <w:p>
      <w:r>
        <w:t xml:space="preserve"/>
      </w:r>
    </w:p>
    <w:p>
      <w:pPr>
        <w:spacing w:after="40" w:before="180"/>
      </w:pPr>
      <w:r>
        <w:rPr>
          <w:b/>
          <w:bCs/>
          <w:sz w:val="24"/>
          <w:szCs w:val="24"/>
        </w:rPr>
        <w:t xml:space="preserve">1. Does each AI agent have its own unique identity, or do agents share API keys?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unique, attributable identity per agent. Watch for: shared API keys / one service account.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2. If my agent's credential leaks, what can an attacker reach with it?</w:t>
      </w:r>
      <w:r>
        <w:rPr>
          <w:i/>
          <w:iCs/>
          <w:color w:val="6C7A00"/>
          <w:sz w:val="18"/>
          <w:szCs w:val="18"/>
        </w:rPr>
        <w:t xml:space="preserve">   non-negotiable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token isolation — a leaked credential reaches almost nothing. Watch for: broad standing access, long-lived tokens.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3. Can I set exactly what tools and data my agent may use — enforced outside the model?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tool/data envelope enforced by the platform. Watch for: “guardrails are in the system prompt.”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4. What does your agent do when it's denied access to something?</w:t>
      </w:r>
      <w:r>
        <w:rPr>
          <w:i/>
          <w:iCs/>
          <w:color w:val="6C7A00"/>
          <w:sz w:val="18"/>
          <w:szCs w:val="18"/>
        </w:rPr>
        <w:t xml:space="preserve">   non-negotiable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it stops and logs the denial. Watch for: “it retries another way” / works around it.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5. Can I see a complete log of every action my agent took — and is it tamper-evident?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full, exportable, tamper-evident logs. Watch for: partial or editable logs, short retention.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6. What's your kill-switch time — how fast can I fully stop a misbehaving agent?</w:t>
      </w:r>
      <w:r>
        <w:rPr>
          <w:i/>
          <w:iCs/>
          <w:color w:val="6C7A00"/>
          <w:sz w:val="18"/>
          <w:szCs w:val="18"/>
        </w:rPr>
        <w:t xml:space="preserve">   non-negotiable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fast, self-serve kill switch with a stated time. Watch for: “open a support ticket,” no number.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7. Do you support autonomy levels and human-approval gates?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configurable autonomy levels + approval gates. Watch for: all-or-nothing autonomy.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8. How do you vet the third-party tools/plugins your agent can call?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an allow-list you control + connector vetting. Watch for: open plugin ecosystem, no boundary.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9. Will you notify me within 24 hours if your AI subprocessor chain is breached?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stated notification timeframe + subprocessor transparency. Watch for: no SLA, no visibility.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spacing w:after="40" w:before="180"/>
      </w:pPr>
      <w:r>
        <w:rPr>
          <w:b/>
          <w:bCs/>
          <w:sz w:val="24"/>
          <w:szCs w:val="24"/>
        </w:rPr>
        <w:t xml:space="preserve">10. Which framework do you map to — OWASP Agentic Top 10, CSA ATF, NIST AI RMF?</w:t>
      </w:r>
    </w:p>
    <w:p>
      <w:pPr>
        <w:spacing w:after="140"/>
      </w:pPr>
      <w:r>
        <w:rPr>
          <w:i/>
          <w:iCs/>
          <w:color w:val="666666"/>
          <w:sz w:val="18"/>
          <w:szCs w:val="18"/>
        </w:rPr>
        <w:t xml:space="preserve">Look for: a named framework they can map to. Watch for: “we take security seriously” with no mapping.</w:t>
      </w:r>
    </w:p>
    <w:p>
      <w:pPr>
        <w:spacing w:after="100"/>
      </w:pPr>
      <w:r>
        <w:rPr>
          <w:b/>
          <w:bCs/>
          <w:sz w:val="18"/>
          <w:szCs w:val="18"/>
        </w:rPr>
        <w:t xml:space="preserve">Vendor's answer: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4F6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/>
            </w:r>
          </w:p>
          <w:p>
            <w:r>
              <w:t xml:space="preserve"/>
            </w:r>
          </w:p>
        </w:tc>
      </w:tr>
    </w:tbl>
    <w:p>
      <w:pPr>
        <w:pStyle w:val="Heading2"/>
        <w:spacing w:after="80" w:before="220"/>
      </w:pPr>
      <w:r>
        <w:rPr>
          <w:b/>
          <w:bCs/>
        </w:rPr>
        <w:t xml:space="preserve">Guardrails honored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Not a certification — no score here attests compliance or safety; it informs your risk decision.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No guarantee of outcome. Framework references describe what to look for, not a warranty.</w:t>
      </w:r>
    </w:p>
    <w:p>
      <w:pPr>
        <w:pStyle w:val="Heading2"/>
        <w:spacing w:after="80" w:before="220"/>
      </w:pPr>
      <w:r>
        <w:rPr>
          <w:b/>
          <w:bCs/>
        </w:rPr>
        <w:t xml:space="preserve">Sources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OWASP GenAI Security Project, </w:t>
      </w:r>
      <w:r>
        <w:rPr>
          <w:i/>
          <w:iCs/>
        </w:rPr>
        <w:t xml:space="preserve">OWASP Top 10 for Agentic Applications (2026)</w:t>
      </w:r>
      <w:r>
        <w:t xml:space="preserve"> (ASI01–ASI10) — </w:t>
      </w:r>
      <w:hyperlink w:history="1" r:id="rIdtgjaffm_fqfcwerzrq0f1">
        <w:r>
          <w:rPr>
            <w:rStyle w:val="Hyperlink"/>
          </w:rPr>
          <w:t xml:space="preserve">genai.owasp.org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Cloud Security Alliance, </w:t>
      </w:r>
      <w:r>
        <w:rPr>
          <w:i/>
          <w:iCs/>
        </w:rPr>
        <w:t xml:space="preserve">The Agentic Trust Framework</w:t>
      </w:r>
      <w:r>
        <w:t xml:space="preserve"> (Feb 2, 2026) — </w:t>
      </w:r>
      <w:hyperlink w:history="1" r:id="rIdoc--esuq-6tyuutejrdy2">
        <w:r>
          <w:rPr>
            <w:rStyle w:val="Hyperlink"/>
          </w:rPr>
          <w:t xml:space="preserve">cloudsecurityalliance.org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Cunningham, C. </w:t>
      </w:r>
      <w:r>
        <w:rPr>
          <w:i/>
          <w:iCs/>
        </w:rPr>
        <w:t xml:space="preserve">Agentic Zero Trust</w:t>
      </w:r>
      <w:r>
        <w:t xml:space="preserve"> v3.0 (May 2026), Cequence — </w:t>
      </w:r>
      <w:hyperlink w:history="1" r:id="rIdtvnshmrvxfpbgnsrmvahk">
        <w:r>
          <w:rPr>
            <w:rStyle w:val="Hyperlink"/>
          </w:rPr>
          <w:t xml:space="preserve">cequence.ai/agentic-zero-trust</w:t>
        </w:r>
      </w:hyperlink>
    </w:p>
    <w:p>
      <w:pPr>
        <w:pStyle w:val="ListParagraph"/>
        <w:numPr>
          <w:ilvl w:val="0"/>
          <w:numId w:val="1"/>
        </w:numPr>
        <w:spacing w:after="40"/>
      </w:pPr>
      <w:r>
        <w:t xml:space="preserve">NIST, </w:t>
      </w:r>
      <w:r>
        <w:rPr>
          <w:i/>
          <w:iCs/>
        </w:rPr>
        <w:t xml:space="preserve">AI Risk Management Framework (AI RMF 1.0)</w:t>
      </w:r>
      <w:r>
        <w:t xml:space="preserve"> — </w:t>
      </w:r>
      <w:hyperlink w:history="1" r:id="rId01qlizdltdvuwzwe6tmdz">
        <w:r>
          <w:rPr>
            <w:rStyle w:val="Hyperlink"/>
          </w:rPr>
          <w:t xml:space="preserve">nist.gov</w:t>
        </w:r>
      </w:hyperlink>
    </w:p>
    <w:p>
      <w:pPr>
        <w:spacing w:before="240"/>
      </w:pPr>
      <w:r>
        <w:rPr>
          <w:color w:val="888888"/>
          <w:sz w:val="16"/>
          <w:szCs w:val="16"/>
        </w:rPr>
        <w:t xml:space="preserve">© PIGENAI LLC · SanctumShield · sanctumshield.com · This is an educational template, not legal advice or a compliance certification.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gjaffm_fqfcwerzrq0f1" Type="http://schemas.openxmlformats.org/officeDocument/2006/relationships/hyperlink" Target="https://genai.owasp.org/resource/owasp-top-10-for-agentic-applications-for-2026/" TargetMode="External"/><Relationship Id="rIdoc--esuq-6tyuutejrdy2" Type="http://schemas.openxmlformats.org/officeDocument/2006/relationships/hyperlink" Target="https://cloudsecurityalliance.org/blog/2026/02/02/the-agentic-trust-framework-zero-trust-governance-for-ai-agents" TargetMode="External"/><Relationship Id="rIdtvnshmrvxfpbgnsrmvahk" Type="http://schemas.openxmlformats.org/officeDocument/2006/relationships/hyperlink" Target="https://www.cequence.ai/agentic-zero-trust/" TargetMode="External"/><Relationship Id="rId01qlizdltdvuwzwe6tmdz" Type="http://schemas.openxmlformats.org/officeDocument/2006/relationships/hyperlink" Target="https://www.nist.gov/itl/ai-risk-management-framework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2026-08-12T06:26:35.078Z</dcterms:created>
  <dcterms:modified xsi:type="dcterms:W3CDTF">2026-08-12T06:26:35.078Z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