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6C7A00"/>
          <w:sz w:val="18"/>
          <w:szCs w:val="18"/>
        </w:rPr>
        <w:t xml:space="preserve">SanctumShield · Agentic Governance for the Other 99%</w:t>
      </w:r>
    </w:p>
    <w:p>
      <w:pPr>
        <w:pStyle w:val="Heading1"/>
        <w:spacing w:after="120" w:before="60"/>
      </w:pPr>
      <w:r>
        <w:rPr>
          <w:b/>
          <w:bCs/>
        </w:rPr>
        <w:t xml:space="preserve">AI Agent Acceptable Use Policy — One-Pager Template</w:t>
      </w:r>
    </w:p>
    <w:p>
      <w:pPr>
        <w:spacing w:after="100"/>
      </w:pPr>
      <w:r>
        <w:rPr>
          <w:b/>
          <w:bCs/>
        </w:rPr>
        <w:t xml:space="preserve">Audience: </w:t>
      </w:r>
      <w:r>
        <w:t xml:space="preserve">mid-market organizations (50–2,000 employees) with a 1–3 person security/IT team and no platform-engineering group.</w:t>
      </w:r>
    </w:p>
    <w:p>
      <w:pPr>
        <w:spacing w:after="100"/>
      </w:pPr>
      <w:r>
        <w:rPr>
          <w:b/>
          <w:bCs/>
        </w:rPr>
        <w:t xml:space="preserve">What this is. </w:t>
      </w:r>
      <w:r>
        <w:t xml:space="preserve">A one-page, fill-in governance record you complete per AI agent or agent class. Cunningham's core idea: the agent's job description IS the policy — everything it may touch is written down; everything else is prohibited by omission, and any off-spec action is a reportable incident.</w:t>
      </w:r>
    </w:p>
    <w:p>
      <w:pPr>
        <w:pStyle w:val="Heading2"/>
        <w:spacing w:after="80" w:before="220"/>
      </w:pPr>
      <w:r>
        <w:rPr>
          <w:b/>
          <w:bCs/>
        </w:rPr>
        <w:t xml:space="preserve">How to fill it in (about 30 minutes)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Make one copy for each AI tool or agent.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Write its job in one sentence — that sentence is the rule.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List exactly what it may touch. Everything you don't list is prohibited.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Say how it signs in — its own account or a shared key (a shared key is a weakness worth noting).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Pick an autonomy level. New tools start at Intern (look-only).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Name one accountable person — a name, not a team.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Write 3–5 “never do this” lines, then sign it and set a review date.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Not legal advice, not a certification, no software to install. This is a record you keep; SanctumShield does not run or control your agents.</w:t>
      </w:r>
    </w:p>
    <w:p>
      <w:pPr>
        <w:pStyle w:val="Heading2"/>
        <w:spacing w:after="80" w:before="220"/>
      </w:pPr>
      <w:r>
        <w:rPr>
          <w:b/>
          <w:bCs/>
        </w:rPr>
        <w:t xml:space="preserve">FRONT OF PAGE — the record (one per agent)</w:t>
      </w:r>
    </w:p>
    <w:tbl>
      <w:tblPr>
        <w:tblW w:type="pct" w:w="100%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6%"/>
            <w:shd w:fill="12141B" w:val="clear"/>
          </w:tcPr>
          <w:p>
            <w:r>
              <w:rPr>
                <w:b/>
                <w:bCs/>
                <w:color w:val="FFFFFF"/>
              </w:rPr>
              <w:t xml:space="preserve">Field</w:t>
            </w:r>
          </w:p>
        </w:tc>
        <w:tc>
          <w:tcPr>
            <w:tcW w:type="pct" w:w="44%"/>
            <w:shd w:fill="12141B" w:val="clear"/>
          </w:tcPr>
          <w:p>
            <w:r>
              <w:rPr>
                <w:b/>
                <w:bCs/>
                <w:color w:val="FFFFFF"/>
              </w:rPr>
              <w:t xml:space="preserve">What to write</w:t>
            </w:r>
          </w:p>
        </w:tc>
        <w:tc>
          <w:tcPr>
            <w:tcW w:type="pct" w:w="30%"/>
            <w:shd w:fill="12141B" w:val="clear"/>
          </w:tcPr>
          <w:p>
            <w:r>
              <w:rPr>
                <w:b/>
                <w:bCs/>
                <w:color w:val="FFFFFF"/>
              </w:rPr>
              <w:t xml:space="preserve">Your entry</w:t>
            </w:r>
          </w:p>
        </w:tc>
      </w:tr>
      <w:tr>
        <w:tc>
          <w:tcPr>
            <w:tcW w:type="pct" w:w="26%"/>
          </w:tcPr>
          <w:p>
            <w:pPr>
              <w:spacing w:after="100"/>
            </w:pPr>
            <w:r>
              <w:rPr>
                <w:b/>
                <w:bCs/>
              </w:rPr>
              <w:t xml:space="preserve">Agent name &amp; vendor</w:t>
            </w:r>
          </w:p>
        </w:tc>
        <w:tc>
          <w:tcPr>
            <w:tcW w:type="pct" w:w="44%"/>
          </w:tcPr>
          <w:p>
            <w:r>
              <w:rPr>
                <w:sz w:val="18"/>
                <w:szCs w:val="18"/>
              </w:rPr>
              <w:t xml:space="preserve">What it is and who makes it.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pct" w:w="26%"/>
          </w:tcPr>
          <w:p>
            <w:pPr>
              <w:spacing w:after="100"/>
            </w:pPr>
            <w:r>
              <w:rPr>
                <w:b/>
                <w:bCs/>
              </w:rPr>
              <w:t xml:space="preserve">Agent identity (non-human)</w:t>
            </w:r>
          </w:p>
        </w:tc>
        <w:tc>
          <w:tcPr>
            <w:tcW w:type="pct" w:w="44%"/>
          </w:tcPr>
          <w:p>
            <w:r>
              <w:rPr>
                <w:sz w:val="18"/>
                <w:szCs w:val="18"/>
              </w:rPr>
              <w:t xml:space="preserve">Its own unique identity/credential, or a shared API key/login? A shared key is a gap — note it and a plan to move to a unique identity.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pct" w:w="26%"/>
          </w:tcPr>
          <w:p>
            <w:pPr>
              <w:spacing w:after="100"/>
            </w:pPr>
            <w:r>
              <w:rPr>
                <w:b/>
                <w:bCs/>
              </w:rPr>
              <w:t xml:space="preserve">Job description (persona)</w:t>
            </w:r>
          </w:p>
        </w:tc>
        <w:tc>
          <w:tcPr>
            <w:tcW w:type="pct" w:w="44%"/>
          </w:tcPr>
          <w:p>
            <w:r>
              <w:rPr>
                <w:sz w:val="18"/>
                <w:szCs w:val="18"/>
              </w:rPr>
              <w:t xml:space="preserve">One sentence: what was this deployed to do? This sentence is the policy.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pct" w:w="26%"/>
          </w:tcPr>
          <w:p>
            <w:pPr>
              <w:spacing w:after="100"/>
            </w:pPr>
            <w:r>
              <w:rPr>
                <w:b/>
                <w:bCs/>
              </w:rPr>
              <w:t xml:space="preserve">Tool envelope</w:t>
            </w:r>
          </w:p>
        </w:tc>
        <w:tc>
          <w:tcPr>
            <w:tcW w:type="pct" w:w="44%"/>
          </w:tcPr>
          <w:p>
            <w:r>
              <w:rPr>
                <w:sz w:val="18"/>
                <w:szCs w:val="18"/>
              </w:rPr>
              <w:t xml:space="preserve">Exactly what it may touch — which data, which systems, which actions. Everything not listed is prohibited.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pct" w:w="26%"/>
          </w:tcPr>
          <w:p>
            <w:pPr>
              <w:spacing w:after="100"/>
            </w:pPr>
            <w:r>
              <w:rPr>
                <w:b/>
                <w:bCs/>
              </w:rPr>
              <w:t xml:space="preserve">Autonomy level</w:t>
            </w:r>
          </w:p>
        </w:tc>
        <w:tc>
          <w:tcPr>
            <w:tcW w:type="pct" w:w="44%"/>
          </w:tcPr>
          <w:p>
            <w:r>
              <w:rPr>
                <w:sz w:val="18"/>
                <w:szCs w:val="18"/>
              </w:rPr>
              <w:t xml:space="preserve">Intern / Junior / Senior / Principal (see the ladder below). New agents start at Intern.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pct" w:w="26%"/>
          </w:tcPr>
          <w:p>
            <w:pPr>
              <w:spacing w:after="100"/>
            </w:pPr>
            <w:r>
              <w:rPr>
                <w:b/>
                <w:bCs/>
              </w:rPr>
              <w:t xml:space="preserve">Named human owner</w:t>
            </w:r>
          </w:p>
        </w:tc>
        <w:tc>
          <w:tcPr>
            <w:tcW w:type="pct" w:w="44%"/>
          </w:tcPr>
          <w:p>
            <w:r>
              <w:rPr>
                <w:sz w:val="18"/>
                <w:szCs w:val="18"/>
              </w:rPr>
              <w:t xml:space="preserve">One accountable person — a name, not a team or distribution list.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pct" w:w="26%"/>
          </w:tcPr>
          <w:p>
            <w:pPr>
              <w:spacing w:after="100"/>
            </w:pPr>
            <w:r>
              <w:rPr>
                <w:b/>
                <w:bCs/>
              </w:rPr>
              <w:t xml:space="preserve">Prohibited actions (3–5 red lines)</w:t>
            </w:r>
          </w:p>
        </w:tc>
        <w:tc>
          <w:tcPr>
            <w:tcW w:type="pct" w:w="44%"/>
          </w:tcPr>
          <w:p>
            <w:r>
              <w:rPr>
                <w:sz w:val="18"/>
                <w:szCs w:val="18"/>
              </w:rPr>
              <w:t xml:space="preserve">Explicit “never” list (e.g., no outbound email; no secrets; no bulk export/delete; no production writes; no spend without approval).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pct" w:w="26%"/>
          </w:tcPr>
          <w:p>
            <w:pPr>
              <w:spacing w:after="100"/>
            </w:pPr>
            <w:r>
              <w:rPr>
                <w:b/>
                <w:bCs/>
              </w:rPr>
              <w:t xml:space="preserve">Off-spec = incident</w:t>
            </w:r>
          </w:p>
        </w:tc>
        <w:tc>
          <w:tcPr>
            <w:tcW w:type="pct" w:w="44%"/>
          </w:tcPr>
          <w:p>
            <w:r>
              <w:rPr>
                <w:sz w:val="18"/>
                <w:szCs w:val="18"/>
              </w:rPr>
              <w:t xml:space="preserve">Confirm: any action outside the job description is reported like a security event, and to whom.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pct" w:w="26%"/>
          </w:tcPr>
          <w:p>
            <w:pPr>
              <w:spacing w:after="100"/>
            </w:pPr>
            <w:r>
              <w:rPr>
                <w:b/>
                <w:bCs/>
              </w:rPr>
              <w:t xml:space="preserve">Review / re-certification date</w:t>
            </w:r>
          </w:p>
        </w:tc>
        <w:tc>
          <w:tcPr>
            <w:tcW w:type="pct" w:w="44%"/>
          </w:tcPr>
          <w:p>
            <w:r>
              <w:rPr>
                <w:sz w:val="18"/>
                <w:szCs w:val="18"/>
              </w:rPr>
              <w:t xml:space="preserve">Quarterly re-certification by the named owner.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100"/>
      </w:pPr>
      <w:r>
        <w:rPr>
          <w:b/>
          <w:bCs/>
        </w:rPr>
        <w:t xml:space="preserve">Owner sign-off:  </w:t>
      </w:r>
      <w:r>
        <w:t xml:space="preserve">Name __________________   Signature __________________   Date ____ / ____ / ______</w:t>
      </w:r>
    </w:p>
    <w:p>
      <w:pPr>
        <w:pStyle w:val="Heading2"/>
        <w:spacing w:after="80" w:before="220"/>
      </w:pPr>
      <w:r>
        <w:rPr>
          <w:b/>
          <w:bCs/>
        </w:rPr>
        <w:t xml:space="preserve">BACK OF PAGE — the autonomy ladder (reference)</w:t>
      </w:r>
    </w:p>
    <w:p>
      <w:pPr>
        <w:spacing w:after="100"/>
      </w:pPr>
      <w:r>
        <w:t xml:space="preserve">Autonomy is granted, not assumed. Every new agent starts as an Intern and is promoted only after it earns the next level.</w:t>
      </w:r>
    </w:p>
    <w:tbl>
      <w:tblPr>
        <w:tblW w:type="pct" w:w="100%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4%"/>
            <w:shd w:fill="12141B" w:val="clear"/>
          </w:tcPr>
          <w:p>
            <w:r>
              <w:rPr>
                <w:b/>
                <w:bCs/>
                <w:color w:val="FFFFFF"/>
              </w:rPr>
              <w:t xml:space="preserve">Level</w:t>
            </w:r>
          </w:p>
        </w:tc>
        <w:tc>
          <w:tcPr>
            <w:tcW w:type="pct" w:w="40%"/>
            <w:shd w:fill="12141B" w:val="clear"/>
          </w:tcPr>
          <w:p>
            <w:r>
              <w:rPr>
                <w:b/>
                <w:bCs/>
                <w:color w:val="FFFFFF"/>
              </w:rPr>
              <w:t xml:space="preserve">What it may do</w:t>
            </w:r>
          </w:p>
        </w:tc>
        <w:tc>
          <w:tcPr>
            <w:tcW w:type="pct" w:w="28%"/>
            <w:shd w:fill="12141B" w:val="clear"/>
          </w:tcPr>
          <w:p>
            <w:r>
              <w:rPr>
                <w:b/>
                <w:bCs/>
                <w:color w:val="FFFFFF"/>
              </w:rPr>
              <w:t xml:space="preserve">Human involvement</w:t>
            </w:r>
          </w:p>
        </w:tc>
        <w:tc>
          <w:tcPr>
            <w:tcW w:type="pct" w:w="18%"/>
            <w:shd w:fill="12141B" w:val="clear"/>
          </w:tcPr>
          <w:p>
            <w:r>
              <w:rPr>
                <w:b/>
                <w:bCs/>
                <w:color w:val="FFFFFF"/>
              </w:rPr>
              <w:t xml:space="preserve">Who approves</w:t>
            </w:r>
          </w:p>
        </w:tc>
      </w:tr>
      <w:tr>
        <w:tc>
          <w:tcPr>
            <w:tcW w:type="pct" w:w="14%"/>
          </w:tcPr>
          <w:p>
            <w:r>
              <w:rPr>
                <w:b/>
                <w:bCs/>
                <w:sz w:val="18"/>
                <w:szCs w:val="18"/>
              </w:rPr>
              <w:t xml:space="preserve">Intern</w:t>
            </w:r>
          </w:p>
        </w:tc>
        <w:tc>
          <w:tcPr>
            <w:tcW w:type="pct" w:w="40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Read-only. Analyze, draft, recommend — cannot change any external system.</w:t>
            </w:r>
          </w:p>
        </w:tc>
        <w:tc>
          <w:tcPr>
            <w:tcW w:type="pct" w:w="2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Human does every action the agent proposes.</w:t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Business owner</w:t>
            </w:r>
          </w:p>
        </w:tc>
      </w:tr>
      <w:tr>
        <w:tc>
          <w:tcPr>
            <w:tcW w:type="pct" w:w="14%"/>
          </w:tcPr>
          <w:p>
            <w:r>
              <w:rPr>
                <w:b/>
                <w:bCs/>
                <w:sz w:val="18"/>
                <w:szCs w:val="18"/>
              </w:rPr>
              <w:t xml:space="preserve">Junior</w:t>
            </w:r>
          </w:p>
        </w:tc>
        <w:tc>
          <w:tcPr>
            <w:tcW w:type="pct" w:w="40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Recommend specific actions; a human approves before anything executes.</w:t>
            </w:r>
          </w:p>
        </w:tc>
        <w:tc>
          <w:tcPr>
            <w:tcW w:type="pct" w:w="2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Explicit human approval on every action.</w:t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Owner + IT/security sign-off</w:t>
            </w:r>
          </w:p>
        </w:tc>
      </w:tr>
      <w:tr>
        <w:tc>
          <w:tcPr>
            <w:tcW w:type="pct" w:w="14%"/>
          </w:tcPr>
          <w:p>
            <w:r>
              <w:rPr>
                <w:b/>
                <w:bCs/>
                <w:sz w:val="18"/>
                <w:szCs w:val="18"/>
              </w:rPr>
              <w:t xml:space="preserve">Senior</w:t>
            </w:r>
          </w:p>
        </w:tc>
        <w:tc>
          <w:tcPr>
            <w:tcW w:type="pct" w:w="40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Execute within defined guardrails and notify a human in real time.</w:t>
            </w:r>
          </w:p>
        </w:tc>
        <w:tc>
          <w:tcPr>
            <w:tcW w:type="pct" w:w="2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Oversight after the fact; humans spot-check.</w:t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Formal review (owner + security + manager)</w:t>
            </w:r>
          </w:p>
        </w:tc>
      </w:tr>
      <w:tr>
        <w:tc>
          <w:tcPr>
            <w:tcW w:type="pct" w:w="14%"/>
          </w:tcPr>
          <w:p>
            <w:r>
              <w:rPr>
                <w:b/>
                <w:bCs/>
                <w:sz w:val="18"/>
                <w:szCs w:val="18"/>
              </w:rPr>
              <w:t xml:space="preserve">Principal</w:t>
            </w:r>
          </w:p>
        </w:tc>
        <w:tc>
          <w:tcPr>
            <w:tcW w:type="pct" w:w="40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Broad autonomy within its envelope; continuous validation.</w:t>
            </w:r>
          </w:p>
        </w:tc>
        <w:tc>
          <w:tcPr>
            <w:tcW w:type="pct" w:w="2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Continuous monitoring; humans intervene by exception.</w:t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Executive authorization + risk acceptance</w:t>
            </w:r>
          </w:p>
        </w:tc>
      </w:tr>
    </w:tbl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Rule of thumb: if you can't name the person who would be paged when this agent does something wrong, it isn't ready to be anything above Intern.</w:t>
      </w:r>
    </w:p>
    <w:p>
      <w:pPr>
        <w:spacing w:after="100"/>
      </w:pPr>
      <w:r>
        <w:rPr>
          <w:b/>
          <w:bCs/>
        </w:rPr>
        <w:t xml:space="preserve">Worked example and how this connects to the rest of SanctumShield: </w:t>
      </w:r>
      <w:hyperlink w:history="1" r:id="rIdouepakmv88uzgypvqd37-">
        <w:r>
          <w:rPr>
            <w:rStyle w:val="Hyperlink"/>
          </w:rPr>
          <w:t xml:space="preserve">see the web version</w:t>
        </w:r>
      </w:hyperlink>
      <w:r>
        <w:t xml:space="preserve">.</w:t>
      </w:r>
    </w:p>
    <w:p>
      <w:pPr>
        <w:pStyle w:val="Heading2"/>
        <w:spacing w:after="80" w:before="220"/>
      </w:pPr>
      <w:r>
        <w:rPr>
          <w:b/>
          <w:bCs/>
        </w:rPr>
        <w:t xml:space="preserve">Guardrails honored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No certification or accreditation language — this is an internal governance record, not an attestation of compliance.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No guarantee of legal/insurance outcome. The named owner remains accountable regardless of vendor or platform controls.</w:t>
      </w:r>
    </w:p>
    <w:p>
      <w:pPr>
        <w:pStyle w:val="Heading2"/>
        <w:spacing w:after="80" w:before="220"/>
      </w:pPr>
      <w:r>
        <w:rPr>
          <w:b/>
          <w:bCs/>
        </w:rPr>
        <w:t xml:space="preserve">Sources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OWASP GenAI Security Project, </w:t>
      </w:r>
      <w:r>
        <w:rPr>
          <w:i/>
          <w:iCs/>
        </w:rPr>
        <w:t xml:space="preserve">OWASP Top 10 for Agentic Applications (2026)</w:t>
      </w:r>
      <w:r>
        <w:t xml:space="preserve"> (ASI01–ASI10) — </w:t>
      </w:r>
      <w:hyperlink w:history="1" r:id="rId-7ltiy9flvfmv50ffz_dp">
        <w:r>
          <w:rPr>
            <w:rStyle w:val="Hyperlink"/>
          </w:rPr>
          <w:t xml:space="preserve">genai.owasp.org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Cloud Security Alliance, </w:t>
      </w:r>
      <w:r>
        <w:rPr>
          <w:i/>
          <w:iCs/>
        </w:rPr>
        <w:t xml:space="preserve">The Agentic Trust Framework</w:t>
      </w:r>
      <w:r>
        <w:t xml:space="preserve"> (Feb 2, 2026) — </w:t>
      </w:r>
      <w:hyperlink w:history="1" r:id="rIdsmqfwtf3rfxcamh1o1a3o">
        <w:r>
          <w:rPr>
            <w:rStyle w:val="Hyperlink"/>
          </w:rPr>
          <w:t xml:space="preserve">cloudsecurityalliance.org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Cunningham, C. </w:t>
      </w:r>
      <w:r>
        <w:rPr>
          <w:i/>
          <w:iCs/>
        </w:rPr>
        <w:t xml:space="preserve">Agentic Zero Trust</w:t>
      </w:r>
      <w:r>
        <w:t xml:space="preserve"> v3.0 (May 2026), Cequence — </w:t>
      </w:r>
      <w:hyperlink w:history="1" r:id="rIdkbtng8qz4uskv9zstkwbv">
        <w:r>
          <w:rPr>
            <w:rStyle w:val="Hyperlink"/>
          </w:rPr>
          <w:t xml:space="preserve">cequence.ai/agentic-zero-trust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NIST, </w:t>
      </w:r>
      <w:r>
        <w:rPr>
          <w:i/>
          <w:iCs/>
        </w:rPr>
        <w:t xml:space="preserve">AI Risk Management Framework (AI RMF 1.0)</w:t>
      </w:r>
      <w:r>
        <w:t xml:space="preserve"> — </w:t>
      </w:r>
      <w:hyperlink w:history="1" r:id="rIdssxik182-wryts-qg_xzb">
        <w:r>
          <w:rPr>
            <w:rStyle w:val="Hyperlink"/>
          </w:rPr>
          <w:t xml:space="preserve">nist.gov</w:t>
        </w:r>
      </w:hyperlink>
    </w:p>
    <w:p>
      <w:pPr>
        <w:spacing w:before="240"/>
      </w:pPr>
      <w:r>
        <w:rPr>
          <w:color w:val="888888"/>
          <w:sz w:val="16"/>
          <w:szCs w:val="16"/>
        </w:rPr>
        <w:t xml:space="preserve">© PIGENAI LLC · SanctumShield · sanctumshield.com · This is an educational template, not legal advice or a compliance certification.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uepakmv88uzgypvqd37-" Type="http://schemas.openxmlformats.org/officeDocument/2006/relationships/hyperlink" Target="https://sanctumshield.com/resources/agentic-governance/agent-aup-one-pager.html" TargetMode="External"/><Relationship Id="rId-7ltiy9flvfmv50ffz_dp" Type="http://schemas.openxmlformats.org/officeDocument/2006/relationships/hyperlink" Target="https://genai.owasp.org/resource/owasp-top-10-for-agentic-applications-for-2026/" TargetMode="External"/><Relationship Id="rIdsmqfwtf3rfxcamh1o1a3o" Type="http://schemas.openxmlformats.org/officeDocument/2006/relationships/hyperlink" Target="https://cloudsecurityalliance.org/blog/2026/02/02/the-agentic-trust-framework-zero-trust-governance-for-ai-agents" TargetMode="External"/><Relationship Id="rIdkbtng8qz4uskv9zstkwbv" Type="http://schemas.openxmlformats.org/officeDocument/2006/relationships/hyperlink" Target="https://www.cequence.ai/agentic-zero-trust/" TargetMode="External"/><Relationship Id="rIdssxik182-wryts-qg_xzb" Type="http://schemas.openxmlformats.org/officeDocument/2006/relationships/hyperlink" Target="https://www.nist.gov/itl/ai-risk-management-framework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2026-08-12T06:26:35.046Z</dcterms:created>
  <dcterms:modified xsi:type="dcterms:W3CDTF">2026-08-12T06:26:35.046Z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